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26A9D0" w14:textId="1712E05B" w:rsidR="00F0254A" w:rsidRDefault="00CA1E4A">
      <w:pPr>
        <w:pStyle w:val="Kopfzeile"/>
        <w:tabs>
          <w:tab w:val="clear" w:pos="4536"/>
          <w:tab w:val="clear" w:pos="9072"/>
          <w:tab w:val="left" w:pos="5954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570D8056" wp14:editId="55436F55">
            <wp:simplePos x="0" y="0"/>
            <wp:positionH relativeFrom="column">
              <wp:posOffset>8255</wp:posOffset>
            </wp:positionH>
            <wp:positionV relativeFrom="paragraph">
              <wp:posOffset>-454025</wp:posOffset>
            </wp:positionV>
            <wp:extent cx="1461770" cy="98107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D3B45" w14:textId="77777777" w:rsidR="00F0254A" w:rsidRDefault="00F0254A">
      <w:pPr>
        <w:tabs>
          <w:tab w:val="left" w:pos="5954"/>
        </w:tabs>
      </w:pPr>
    </w:p>
    <w:p w14:paraId="01E7B471" w14:textId="77777777" w:rsidR="00F0254A" w:rsidRDefault="00F0254A">
      <w:pPr>
        <w:tabs>
          <w:tab w:val="left" w:pos="5954"/>
        </w:tabs>
      </w:pPr>
    </w:p>
    <w:p w14:paraId="3101F585" w14:textId="77777777" w:rsidR="00F0254A" w:rsidRDefault="00F0254A">
      <w:pPr>
        <w:tabs>
          <w:tab w:val="left" w:pos="5954"/>
        </w:tabs>
      </w:pPr>
    </w:p>
    <w:p w14:paraId="3334B813" w14:textId="77777777" w:rsidR="00F0254A" w:rsidRDefault="00F0254A">
      <w:pPr>
        <w:tabs>
          <w:tab w:val="left" w:pos="5954"/>
        </w:tabs>
        <w:rPr>
          <w:rFonts w:ascii="Comic Sans MS" w:hAnsi="Comic Sans MS" w:cs="Comic Sans MS"/>
          <w:color w:val="000080"/>
          <w:sz w:val="28"/>
        </w:rPr>
      </w:pPr>
      <w:r>
        <w:t xml:space="preserve">     </w:t>
      </w:r>
      <w:r w:rsidR="00842253">
        <w:t xml:space="preserve">     </w:t>
      </w:r>
      <w:r>
        <w:t xml:space="preserve">     </w:t>
      </w:r>
      <w:proofErr w:type="gramStart"/>
      <w:r>
        <w:rPr>
          <w:rFonts w:ascii="Comic Sans MS" w:hAnsi="Comic Sans MS" w:cs="Comic Sans MS"/>
          <w:color w:val="000080"/>
          <w:sz w:val="32"/>
        </w:rPr>
        <w:t xml:space="preserve">Betreute </w:t>
      </w:r>
      <w:r w:rsidR="00842253">
        <w:rPr>
          <w:rFonts w:ascii="Comic Sans MS" w:hAnsi="Comic Sans MS" w:cs="Comic Sans MS"/>
          <w:color w:val="000080"/>
          <w:sz w:val="32"/>
        </w:rPr>
        <w:t xml:space="preserve"> </w:t>
      </w:r>
      <w:r>
        <w:rPr>
          <w:rFonts w:ascii="Comic Sans MS" w:hAnsi="Comic Sans MS" w:cs="Comic Sans MS"/>
          <w:color w:val="000080"/>
          <w:sz w:val="32"/>
        </w:rPr>
        <w:t>Wohnformen</w:t>
      </w:r>
      <w:proofErr w:type="gramEnd"/>
      <w:r>
        <w:rPr>
          <w:rFonts w:ascii="Comic Sans MS" w:hAnsi="Comic Sans MS" w:cs="Comic Sans MS"/>
          <w:color w:val="000080"/>
          <w:sz w:val="32"/>
        </w:rPr>
        <w:t xml:space="preserve"> </w:t>
      </w:r>
      <w:r>
        <w:rPr>
          <w:rFonts w:ascii="Comic Sans MS" w:hAnsi="Comic Sans MS" w:cs="Comic Sans MS"/>
          <w:color w:val="000080"/>
          <w:sz w:val="28"/>
        </w:rPr>
        <w:t xml:space="preserve">                   </w:t>
      </w:r>
      <w:r>
        <w:rPr>
          <w:rFonts w:ascii="Comic Sans MS" w:hAnsi="Comic Sans MS" w:cs="Comic Sans MS"/>
          <w:color w:val="000080"/>
          <w:sz w:val="24"/>
          <w:szCs w:val="24"/>
        </w:rPr>
        <w:t>Martin Laumann-Stening</w:t>
      </w:r>
    </w:p>
    <w:p w14:paraId="088689B2" w14:textId="77777777" w:rsidR="00F0254A" w:rsidRDefault="00F0254A">
      <w:pPr>
        <w:tabs>
          <w:tab w:val="left" w:pos="5954"/>
        </w:tabs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color w:val="000080"/>
          <w:sz w:val="28"/>
        </w:rPr>
        <w:t xml:space="preserve">      Hilfe zur Erziehung und Teilhabe</w:t>
      </w:r>
      <w:r>
        <w:rPr>
          <w:rFonts w:ascii="Comic Sans MS" w:hAnsi="Comic Sans MS" w:cs="Comic Sans MS"/>
          <w:color w:val="000080"/>
          <w:sz w:val="28"/>
        </w:rPr>
        <w:tab/>
      </w:r>
      <w:r>
        <w:rPr>
          <w:rFonts w:ascii="Comic Sans MS" w:hAnsi="Comic Sans MS" w:cs="Comic Sans MS"/>
          <w:color w:val="000080"/>
          <w:sz w:val="24"/>
        </w:rPr>
        <w:t>Bahnhofstraße 14</w:t>
      </w:r>
    </w:p>
    <w:p w14:paraId="2C5D2E82" w14:textId="77777777" w:rsidR="00F0254A" w:rsidRDefault="00F0254A">
      <w:pPr>
        <w:tabs>
          <w:tab w:val="left" w:pos="5954"/>
        </w:tabs>
        <w:rPr>
          <w:rFonts w:ascii="Comic Sans MS" w:hAnsi="Comic Sans MS" w:cs="Comic Sans MS"/>
          <w:color w:val="000080"/>
          <w:sz w:val="24"/>
        </w:rPr>
      </w:pP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color w:val="000080"/>
          <w:sz w:val="24"/>
        </w:rPr>
        <w:t>49492 Westerkappeln</w:t>
      </w:r>
    </w:p>
    <w:p w14:paraId="031AA44A" w14:textId="354F852F" w:rsidR="0001263D" w:rsidRDefault="00F0254A">
      <w:pPr>
        <w:tabs>
          <w:tab w:val="left" w:pos="5954"/>
        </w:tabs>
        <w:rPr>
          <w:rFonts w:ascii="Comic Sans MS" w:hAnsi="Comic Sans MS" w:cs="Comic Sans MS"/>
          <w:color w:val="000080"/>
          <w:sz w:val="24"/>
          <w:lang w:val="en-US"/>
        </w:rPr>
      </w:pPr>
      <w:r>
        <w:rPr>
          <w:rFonts w:ascii="Comic Sans MS" w:hAnsi="Comic Sans MS" w:cs="Comic Sans MS"/>
          <w:color w:val="000080"/>
          <w:sz w:val="24"/>
        </w:rPr>
        <w:tab/>
      </w:r>
      <w:r>
        <w:rPr>
          <w:rFonts w:ascii="Comic Sans MS" w:hAnsi="Comic Sans MS" w:cs="Comic Sans MS"/>
          <w:color w:val="000080"/>
          <w:sz w:val="24"/>
          <w:lang w:val="en-US"/>
        </w:rPr>
        <w:t xml:space="preserve">Mail: </w:t>
      </w:r>
      <w:hyperlink r:id="rId8" w:history="1">
        <w:r w:rsidR="0001263D" w:rsidRPr="00A30423">
          <w:rPr>
            <w:rStyle w:val="Hyperlink"/>
            <w:rFonts w:ascii="Comic Sans MS" w:hAnsi="Comic Sans MS" w:cs="Comic Sans MS"/>
            <w:sz w:val="24"/>
            <w:lang w:val="en-US"/>
          </w:rPr>
          <w:t>info@team-bewo.de</w:t>
        </w:r>
      </w:hyperlink>
    </w:p>
    <w:p w14:paraId="0DCDF796" w14:textId="316ECF7C" w:rsidR="00F0254A" w:rsidRDefault="00F0254A">
      <w:pPr>
        <w:tabs>
          <w:tab w:val="left" w:pos="5954"/>
        </w:tabs>
        <w:rPr>
          <w:rFonts w:ascii="Comic Sans MS" w:hAnsi="Comic Sans MS" w:cs="Comic Sans MS"/>
          <w:sz w:val="16"/>
          <w:lang w:val="en-US"/>
        </w:rPr>
      </w:pPr>
      <w:r>
        <w:rPr>
          <w:rFonts w:ascii="Comic Sans MS" w:hAnsi="Comic Sans MS" w:cs="Comic Sans MS"/>
          <w:color w:val="000080"/>
          <w:sz w:val="24"/>
          <w:lang w:val="en-US"/>
        </w:rPr>
        <w:tab/>
        <w:t>Tel.: 05404-9596835</w:t>
      </w:r>
    </w:p>
    <w:p w14:paraId="5C4337BA" w14:textId="394083E2" w:rsidR="00882FE5" w:rsidRDefault="00882FE5"/>
    <w:p w14:paraId="38B1C4BF" w14:textId="77777777" w:rsidR="00F0254A" w:rsidRDefault="00F0254A"/>
    <w:p w14:paraId="16D5B4CC" w14:textId="77777777" w:rsidR="00F0254A" w:rsidRDefault="00F0254A"/>
    <w:p w14:paraId="4E05FDCF" w14:textId="77777777" w:rsidR="00BA169E" w:rsidRDefault="007F6DF4">
      <w:r>
        <w:tab/>
      </w:r>
    </w:p>
    <w:p w14:paraId="6CA96F6B" w14:textId="77777777" w:rsidR="00BA169E" w:rsidRDefault="00BA169E"/>
    <w:p w14:paraId="5FD8B708" w14:textId="473DD041" w:rsidR="00BA169E" w:rsidRDefault="00BA169E">
      <w:pPr>
        <w:rPr>
          <w:sz w:val="24"/>
          <w:szCs w:val="24"/>
        </w:rPr>
      </w:pPr>
      <w:r>
        <w:tab/>
      </w:r>
      <w:r>
        <w:tab/>
      </w:r>
      <w:r>
        <w:tab/>
      </w:r>
      <w:r w:rsidR="007F6DF4">
        <w:tab/>
      </w:r>
      <w:r w:rsidR="007F6DF4">
        <w:tab/>
      </w:r>
      <w:r w:rsidR="007F6DF4">
        <w:tab/>
      </w:r>
      <w:r w:rsidR="007F6DF4">
        <w:tab/>
      </w:r>
      <w:r w:rsidR="007F6DF4">
        <w:tab/>
      </w:r>
      <w:r w:rsidR="007F6DF4">
        <w:tab/>
      </w:r>
      <w:r w:rsidR="007F6DF4" w:rsidRPr="007F6DF4">
        <w:rPr>
          <w:sz w:val="24"/>
          <w:szCs w:val="24"/>
        </w:rPr>
        <w:t>Westerkappeln, den</w:t>
      </w:r>
      <w:r>
        <w:rPr>
          <w:sz w:val="24"/>
          <w:szCs w:val="24"/>
        </w:rPr>
        <w:t xml:space="preserve"> 24.04.2019</w:t>
      </w:r>
    </w:p>
    <w:p w14:paraId="4F0F1365" w14:textId="77777777" w:rsidR="00BA169E" w:rsidRDefault="00BA169E">
      <w:pPr>
        <w:rPr>
          <w:sz w:val="24"/>
          <w:szCs w:val="24"/>
        </w:rPr>
      </w:pPr>
    </w:p>
    <w:p w14:paraId="7B5D17EA" w14:textId="47A916B9" w:rsidR="00BA169E" w:rsidRPr="00BA169E" w:rsidRDefault="00BA16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Konzeption </w:t>
      </w:r>
      <w:r w:rsidRPr="00BA169E">
        <w:rPr>
          <w:b/>
          <w:bCs/>
          <w:sz w:val="32"/>
          <w:szCs w:val="32"/>
        </w:rPr>
        <w:t>Ambulante Betreuung</w:t>
      </w:r>
    </w:p>
    <w:p w14:paraId="5A2967B5" w14:textId="77777777" w:rsidR="00BA169E" w:rsidRDefault="00BA169E">
      <w:pPr>
        <w:rPr>
          <w:sz w:val="24"/>
          <w:szCs w:val="24"/>
        </w:rPr>
      </w:pPr>
    </w:p>
    <w:p w14:paraId="55C7FB6D" w14:textId="114242E2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8"/>
          <w:szCs w:val="28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8"/>
          <w:szCs w:val="28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8"/>
          <w:szCs w:val="28"/>
          <w:lang w:eastAsia="de-DE"/>
        </w:rPr>
        <w:t>.1 Rechtsgrundlage Ambulante Betreuung</w:t>
      </w:r>
    </w:p>
    <w:p w14:paraId="74055657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Die gesetzlichen Grundlagen für die Ambulante Betreuung befinden sich im </w:t>
      </w: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de-DE"/>
        </w:rPr>
        <w:t xml:space="preserve">§ 27 SGB VIII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– Hilfen zur</w:t>
      </w:r>
    </w:p>
    <w:p w14:paraId="0BCE4E54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Erziehung u.a. in Verbindung mit:</w:t>
      </w:r>
    </w:p>
    <w:p w14:paraId="049FB6C6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§ 30 Erziehungsbeistandschaft</w:t>
      </w:r>
    </w:p>
    <w:p w14:paraId="7E337DA0" w14:textId="360C8356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§ 31 Sozialpädagogische Familienhilfe (SPFH)</w:t>
      </w:r>
    </w:p>
    <w:p w14:paraId="19174CAA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18677011" w14:textId="41A91F30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8"/>
          <w:szCs w:val="28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8"/>
          <w:szCs w:val="28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8"/>
          <w:szCs w:val="28"/>
          <w:lang w:eastAsia="de-DE"/>
        </w:rPr>
        <w:t>.2 Erziehungsbeistandschaft</w:t>
      </w:r>
    </w:p>
    <w:p w14:paraId="53430947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Soziale Auffälligkeiten bei Jugendlichen sind oftmals Ausdruck davon, mit Problemlagen in ihrem</w:t>
      </w:r>
    </w:p>
    <w:p w14:paraId="4DC7BF1C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sozialen Umfeld (Eltern, Geschwister usw.) nicht selbstständig umgehen zu können. Grundlage sind</w:t>
      </w:r>
    </w:p>
    <w:p w14:paraId="02FB789B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meist Konfliktsituationen, in denen sie benachteiligt werden oder dies so wahrnehmen. Es bauen sich</w:t>
      </w:r>
    </w:p>
    <w:p w14:paraId="044E8736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Spannungen in dem gesamten Familiensystem auf, die sich oft in unberechenbarer Form entladen.</w:t>
      </w:r>
    </w:p>
    <w:p w14:paraId="53A5DF3C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Unsere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de-DE"/>
        </w:rPr>
        <w:t>Erziehungsbeistandschaften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 nehmen die Verhaltensweisen der Jugendlichen als Symptome von</w:t>
      </w:r>
    </w:p>
    <w:p w14:paraId="1D71EF9C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Problemlagen </w:t>
      </w:r>
      <w:proofErr w:type="gramStart"/>
      <w:r>
        <w:rPr>
          <w:rFonts w:ascii="Calibri" w:hAnsi="Calibri" w:cs="Calibri"/>
          <w:color w:val="000000"/>
          <w:sz w:val="22"/>
          <w:szCs w:val="22"/>
          <w:lang w:eastAsia="de-DE"/>
        </w:rPr>
        <w:t>wahr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de-DE"/>
        </w:rPr>
        <w:t>, die es zu verstehen gilt. In der Hilfeplanung wird gemeinsam mit dem Jugendamt</w:t>
      </w:r>
    </w:p>
    <w:p w14:paraId="3701F0AA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ein zeitlicher Betreuungsrahmen festgelegt. Die Betreuung sollte nicht kürzer als ein Jahr mit ca. 4 h</w:t>
      </w:r>
    </w:p>
    <w:p w14:paraId="607A7E0D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wöchentlich geplant werden. Die Abrechnung erfolgt über Fachleistungsstunden.</w:t>
      </w:r>
    </w:p>
    <w:p w14:paraId="4CE260F1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</w:pPr>
    </w:p>
    <w:p w14:paraId="1E6D2696" w14:textId="607D39DE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.2.1 Personelle Ausstattung</w:t>
      </w:r>
    </w:p>
    <w:p w14:paraId="5C6E0C4D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Für die pädagogische Betreuung steht ein Team festangestellter Mitarbeiter (Sozialarbeiter/</w:t>
      </w:r>
    </w:p>
    <w:p w14:paraId="04DACE94" w14:textId="3F21E399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Sozialpädagogen) sowie bedarfsgerecht einsetzbare Honorarkräfte zur Verfügung.</w:t>
      </w:r>
    </w:p>
    <w:p w14:paraId="12253848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5933A6C2" w14:textId="702E60A2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.2.2 Sachliche Ausstattung</w:t>
      </w:r>
    </w:p>
    <w:p w14:paraId="2D9133A6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Das Angebot ist nicht ortsgebunden. Die BEWO unterhält in Osnabrück ein Büro mit</w:t>
      </w:r>
    </w:p>
    <w:p w14:paraId="3677329C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Besprechungsraum für Einzel-, Gruppen- und Familiengespräche. Dieses ist bedarfsgerecht</w:t>
      </w:r>
    </w:p>
    <w:p w14:paraId="15DD5335" w14:textId="3E3E2315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jederzeit nutzbar.</w:t>
      </w:r>
    </w:p>
    <w:p w14:paraId="70D4BCC2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66CDC522" w14:textId="2231280F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.2.3 Zielgruppe</w:t>
      </w:r>
    </w:p>
    <w:p w14:paraId="7F10A1FC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Die Hilfe richtet sich an Kinder/Jugendliche ab dem 12. Lebensjahr, die</w:t>
      </w:r>
    </w:p>
    <w:p w14:paraId="3C232B52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bei der Bewältigung von Entwicklungsproblemen im sozialen Umfeld Hilfe benötigen,</w:t>
      </w:r>
    </w:p>
    <w:p w14:paraId="2C41BC7C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ihre Beziehung zu ihren Eltern oder zum Umfeld klären wollen oder müssen,</w:t>
      </w:r>
    </w:p>
    <w:p w14:paraId="70E8B6C3" w14:textId="4DFF96A5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unzureichende Konfliktlösungsstrategien entwickelt haben.</w:t>
      </w:r>
    </w:p>
    <w:p w14:paraId="614315AD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AB84F40" w14:textId="27BB0D72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.2.4 Ziele und Beendigung der Maßnahme</w:t>
      </w:r>
    </w:p>
    <w:p w14:paraId="7BC52030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lastRenderedPageBreak/>
        <w:t>Ausgehend davon, dass die Jugendlichen in dem 12. Lebensjahr schon verstärkt nach</w:t>
      </w:r>
    </w:p>
    <w:p w14:paraId="5470DEC0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Selbstständigkeit streben, muss die Auseinandersetzung mit der eigenen Situation stattfinden</w:t>
      </w:r>
    </w:p>
    <w:p w14:paraId="091E5BC5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und die Dynamik des eigenen Bezugssystems verstanden werden. Hieraus ergeben sich für</w:t>
      </w:r>
    </w:p>
    <w:p w14:paraId="6CB35D3F" w14:textId="65A3709A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BEWO folgende Handlungsziele:</w:t>
      </w:r>
    </w:p>
    <w:p w14:paraId="4A23AD38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380D1B12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Klärung der Beziehung zwischen dem Jugendlichen und den Familienmitgliedern</w:t>
      </w:r>
    </w:p>
    <w:p w14:paraId="69D44BA4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Auseinandersetzung mit den äußeren Gegebenheiten (Überprüfen eigener Ansprüche und</w:t>
      </w:r>
    </w:p>
    <w:p w14:paraId="1066C512" w14:textId="6834822F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des eigenen Verhaltens)</w:t>
      </w:r>
    </w:p>
    <w:p w14:paraId="51A30BFE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Entwicklung und Förderung der schulischen und beruflichen Perspektiven</w:t>
      </w:r>
    </w:p>
    <w:p w14:paraId="771001E9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Integration des Jugendlichen in das soziale Umfeld</w:t>
      </w:r>
    </w:p>
    <w:p w14:paraId="3C264467" w14:textId="417341C1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Stärkung des Selbstvertrauens und der Selbstsicherheit</w:t>
      </w:r>
    </w:p>
    <w:p w14:paraId="7DAE6C8A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31AE788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Um geändertes Verhalten zu erzielen, sollte die Betreuung nicht kürzer als ein Jahr geplant</w:t>
      </w:r>
    </w:p>
    <w:p w14:paraId="5A310427" w14:textId="2786EBC3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werden.</w:t>
      </w:r>
    </w:p>
    <w:p w14:paraId="7E0F549A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5792B67" w14:textId="4AFBC710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.2.5 Pädagogische Methoden</w:t>
      </w:r>
    </w:p>
    <w:p w14:paraId="3482E317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Die pädagogischen Methoden entlehnen sich der klassischen Einzelfallhilfe unter Einbeziehung</w:t>
      </w:r>
    </w:p>
    <w:p w14:paraId="1C4EA693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systemischer Ansätze sowie erfahrungsorientierter Lernansätze zur Erreichung besserer</w:t>
      </w:r>
    </w:p>
    <w:p w14:paraId="1059183E" w14:textId="38109511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Soziabilität, u.a. durch:</w:t>
      </w:r>
    </w:p>
    <w:p w14:paraId="6F33885C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4503B6E6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Analyse systemischer Zusammenhänge</w:t>
      </w:r>
    </w:p>
    <w:p w14:paraId="3A8C6E1F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Bewusstmachen von Selbstblockaden</w:t>
      </w:r>
    </w:p>
    <w:p w14:paraId="38696990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Erarbeiten von Konfliktstrategien</w:t>
      </w:r>
    </w:p>
    <w:p w14:paraId="3F038C09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Selbstreflexion</w:t>
      </w:r>
    </w:p>
    <w:p w14:paraId="061FFD21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Positive Verstärkung veränderter Handlungsmuster</w:t>
      </w:r>
    </w:p>
    <w:p w14:paraId="143E95E3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Anregung zur sinnvollen Freizeitgestaltung</w:t>
      </w:r>
    </w:p>
    <w:p w14:paraId="4008D019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Aufspüren von Talenten und Interessen</w:t>
      </w:r>
    </w:p>
    <w:p w14:paraId="2D24367C" w14:textId="270333CD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Entwicklung von Struktur und Tagesrhythmus</w:t>
      </w:r>
    </w:p>
    <w:p w14:paraId="40E6F50C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614AFFFF" w14:textId="5E87499B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8"/>
          <w:szCs w:val="28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8"/>
          <w:szCs w:val="28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8"/>
          <w:szCs w:val="28"/>
          <w:lang w:eastAsia="de-DE"/>
        </w:rPr>
        <w:t>.3 Sozialpädagogische Familienhilfe (SPFH)</w:t>
      </w:r>
    </w:p>
    <w:p w14:paraId="154BC862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Sozialpädagogische Familienhilfe ist eine intensive ambulante Hilfe zur Erziehung für Familien mit</w:t>
      </w:r>
    </w:p>
    <w:p w14:paraId="17531CEA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Kindern in aktuell belastenden Situationen (Unterversorgungslagen). Die belastenden Faktoren wirken</w:t>
      </w:r>
    </w:p>
    <w:p w14:paraId="6A88F128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in verschiedenen sich als Schwierigkeiten in verschiedenen Lebensbereichen aus, die in Wechselwirkung</w:t>
      </w:r>
    </w:p>
    <w:p w14:paraId="2298758F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zueinanderstehen. In der Hilfeplanung wird gemeinsam mit dem Jugendamt ein zeitlicher</w:t>
      </w:r>
    </w:p>
    <w:p w14:paraId="0A9D9FDA" w14:textId="0D15AF2D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" w:hAnsi="ComicSansMS" w:cs="ComicSansMS"/>
          <w:color w:val="000000"/>
          <w:sz w:val="16"/>
          <w:szCs w:val="16"/>
          <w:lang w:eastAsia="de-DE"/>
        </w:rPr>
      </w:pPr>
    </w:p>
    <w:p w14:paraId="5C0A1A40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Betreuungsrahmen festgelegt. Die Betreuung sollte nicht kürzer als ein Jahr mit ca. 8 h wöchentlich</w:t>
      </w:r>
    </w:p>
    <w:p w14:paraId="0A9E01F7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geplant werden. Die Leistung wird über Fachleistungsstunden vergütet. Für Sonderleistungen müssen</w:t>
      </w:r>
    </w:p>
    <w:p w14:paraId="6ABE05BE" w14:textId="13EE0AD2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die dafür vereinbarten Beträge vergütet werden.</w:t>
      </w:r>
    </w:p>
    <w:p w14:paraId="2E21D9FB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16EF3FE3" w14:textId="135A3BF2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.3.1 Personelle Ausstattung</w:t>
      </w:r>
    </w:p>
    <w:p w14:paraId="7372B696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Für die pädagogische Betreuung steht ein Team festangestellter Mitarbeiter (Sozialarbeiter/</w:t>
      </w:r>
    </w:p>
    <w:p w14:paraId="12D39181" w14:textId="07BA717C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Sozialpädagogen) sowie bedarfsgerecht einsetzbare Honorarkräfte zur Verfügung.</w:t>
      </w:r>
    </w:p>
    <w:p w14:paraId="16A048DD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5981C2D3" w14:textId="1959B991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.3.2 Sachliche Ausstattung</w:t>
      </w:r>
    </w:p>
    <w:p w14:paraId="621C04FF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Das Angebot ist nicht ortsungebunden. Die </w:t>
      </w: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de-DE"/>
        </w:rPr>
        <w:t xml:space="preserve">BEWO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unterhält für Einzel-, Gruppen- und</w:t>
      </w:r>
    </w:p>
    <w:p w14:paraId="67F89D80" w14:textId="031F923F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Familiengespräche ein Büro mit Besprechungsraum in Osnabrück.</w:t>
      </w:r>
    </w:p>
    <w:p w14:paraId="6D3A358E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47BF22CC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8.3.3 Zielgruppe</w:t>
      </w:r>
    </w:p>
    <w:p w14:paraId="0AA6CA26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Die Hilfe richtet sich an Mütter, Väter, deren Kinder und diese im Zusammenhang als ein</w:t>
      </w:r>
    </w:p>
    <w:p w14:paraId="3BA5C5B5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Familiensystem in sehr verschiedenen Konstellationen.</w:t>
      </w:r>
    </w:p>
    <w:p w14:paraId="619E898B" w14:textId="188FE45C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Zur Zielgruppe gehören Mütter, Väter und Familien,</w:t>
      </w:r>
    </w:p>
    <w:p w14:paraId="633854F1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1A0F7CB4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in einem aktuellen Krisengeschehen, </w:t>
      </w:r>
      <w:proofErr w:type="gramStart"/>
      <w:r>
        <w:rPr>
          <w:rFonts w:ascii="Calibri" w:hAnsi="Calibri" w:cs="Calibri"/>
          <w:color w:val="000000"/>
          <w:sz w:val="22"/>
          <w:szCs w:val="22"/>
          <w:lang w:eastAsia="de-DE"/>
        </w:rPr>
        <w:t>das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 eine Notsituation des Jugendlichen zur Folge hat,</w:t>
      </w:r>
    </w:p>
    <w:p w14:paraId="5F2FCBBF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mit vielfältigen ausgeprägten psychosozialen Belastungen und/oder Beeinträchtigungen</w:t>
      </w:r>
    </w:p>
    <w:p w14:paraId="47A84DBB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mit chronischen Erkrankungen und leichten Behinderungen, die in Erziehungssituationen</w:t>
      </w:r>
    </w:p>
    <w:p w14:paraId="1EBAD5A1" w14:textId="2C356C7E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überfordert sind,</w:t>
      </w:r>
    </w:p>
    <w:p w14:paraId="00A23B0A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die aufgrund einer „fremden“ Kulturprägung in erhebliche Konfliktsituationen mit ihren</w:t>
      </w:r>
    </w:p>
    <w:p w14:paraId="6ABF8EED" w14:textId="328ED31A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Kindern geraten bzw. mit deren Erziehung überfordert sind.</w:t>
      </w:r>
    </w:p>
    <w:p w14:paraId="2C455221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51DAFEF4" w14:textId="324F7C9A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.3.4 Ziele</w:t>
      </w:r>
    </w:p>
    <w:p w14:paraId="5973A850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Die Ziele der SPFH sind vielfältig und individuelle sehr verschieden, lassen sich jedoch u.a.</w:t>
      </w:r>
    </w:p>
    <w:p w14:paraId="450CDE74" w14:textId="2E6BFC7C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zusammenfassen als:</w:t>
      </w:r>
    </w:p>
    <w:p w14:paraId="7FC1E108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19BED65E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Hilfe zur Selbsthilfe (Familie wird zum „Experten in eigener Sache“)</w:t>
      </w:r>
    </w:p>
    <w:p w14:paraId="49329FE7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Krisen werde erkannt und reflektiert</w:t>
      </w:r>
    </w:p>
    <w:p w14:paraId="362D2CE5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Ressourcen zur konstruktiven Konfliktlösung werden angewandt</w:t>
      </w:r>
    </w:p>
    <w:p w14:paraId="7E202E12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Abbau von Isolierungstendenzen</w:t>
      </w:r>
    </w:p>
    <w:p w14:paraId="3394636C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der Aufbau von Kommunikations- und Informationsstrukturen</w:t>
      </w:r>
    </w:p>
    <w:p w14:paraId="5EB6FBE0" w14:textId="4BE2F4C1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die aktive Gestaltung der Freizeit unter Einbeziehung des Umfeldes.</w:t>
      </w:r>
    </w:p>
    <w:p w14:paraId="5CD46BE6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CE9B1D1" w14:textId="32C8277F" w:rsidR="00BA169E" w:rsidRDefault="00BA169E" w:rsidP="00BA169E">
      <w:pPr>
        <w:suppressAutoHyphens w:val="0"/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</w:pP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1</w:t>
      </w:r>
      <w:r>
        <w:rPr>
          <w:rFonts w:ascii="ComicSansMS-Bold" w:hAnsi="ComicSansMS-Bold" w:cs="ComicSansMS-Bold"/>
          <w:b/>
          <w:bCs/>
          <w:color w:val="4A66AD"/>
          <w:sz w:val="22"/>
          <w:szCs w:val="22"/>
          <w:lang w:eastAsia="de-DE"/>
        </w:rPr>
        <w:t>.3.5 Pädagogische Methoden</w:t>
      </w:r>
    </w:p>
    <w:p w14:paraId="1C5778EB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Im Rahmen der SPFH werden unterschiedliche, in den jeweiligen Einzelfällen erforderliche</w:t>
      </w:r>
    </w:p>
    <w:p w14:paraId="62C6889D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methodische Grundlagen angewandt, da der umfassende Arbeitsauftrag der SPFH verschiedene</w:t>
      </w:r>
    </w:p>
    <w:p w14:paraId="7573E68B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theoretische Grundlagen erfordert. Folgende methodische Grundlagen können angeboten</w:t>
      </w:r>
    </w:p>
    <w:p w14:paraId="7A6057D5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werden:</w:t>
      </w:r>
    </w:p>
    <w:p w14:paraId="5D16719A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Praktisches Anleiten und modellhaftes Handeln, z.B. in Erziehungssituationen</w:t>
      </w:r>
    </w:p>
    <w:p w14:paraId="4110F816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Einzelgespräche zur Erörterung von Problemlagen und als Vorbereitung eigener</w:t>
      </w:r>
    </w:p>
    <w:p w14:paraId="430A4759" w14:textId="644A9D9E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Entscheidungen</w:t>
      </w:r>
    </w:p>
    <w:p w14:paraId="7C5FF59F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Familiengespräche unter Einbeziehung systemischer Ansätze sowie erfahrungsorientierter</w:t>
      </w:r>
    </w:p>
    <w:p w14:paraId="085EE23B" w14:textId="2D89C0D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Lernansätze</w:t>
      </w:r>
    </w:p>
    <w:p w14:paraId="3B19A283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Einbezug des sozialen Umfeldes in die Hilfe (Hilfe-Netzwerk)</w:t>
      </w:r>
    </w:p>
    <w:p w14:paraId="617C5474" w14:textId="77777777" w:rsidR="00BA169E" w:rsidRDefault="00BA169E" w:rsidP="00BA169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Wingdings-Regular" w:hAnsi="Wingdings-Regular" w:cs="Wingdings-Regular"/>
          <w:color w:val="000000"/>
          <w:sz w:val="22"/>
          <w:szCs w:val="22"/>
          <w:lang w:eastAsia="de-DE"/>
        </w:rPr>
        <w:t xml:space="preserve">Ø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>Erarbeiten von Konfliktstrategien</w:t>
      </w:r>
    </w:p>
    <w:p w14:paraId="706C0F38" w14:textId="4E54D90E" w:rsidR="00F0254A" w:rsidRPr="007F6DF4" w:rsidRDefault="007F6DF4" w:rsidP="00BA169E">
      <w:pPr>
        <w:rPr>
          <w:sz w:val="24"/>
          <w:szCs w:val="24"/>
        </w:rPr>
      </w:pPr>
      <w:r w:rsidRPr="007F6DF4">
        <w:rPr>
          <w:sz w:val="24"/>
          <w:szCs w:val="24"/>
        </w:rPr>
        <w:tab/>
      </w:r>
    </w:p>
    <w:sectPr w:rsidR="00F0254A" w:rsidRPr="007F6DF4" w:rsidSect="0001263D">
      <w:pgSz w:w="11906" w:h="16838"/>
      <w:pgMar w:top="1440" w:right="1080" w:bottom="1440" w:left="108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7D9D7" w14:textId="77777777" w:rsidR="006A0AA2" w:rsidRDefault="006A0AA2" w:rsidP="00882FE5">
      <w:r>
        <w:separator/>
      </w:r>
    </w:p>
  </w:endnote>
  <w:endnote w:type="continuationSeparator" w:id="0">
    <w:p w14:paraId="0A245F06" w14:textId="77777777" w:rsidR="006A0AA2" w:rsidRDefault="006A0AA2" w:rsidP="0088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7A41D" w14:textId="77777777" w:rsidR="006A0AA2" w:rsidRDefault="006A0AA2" w:rsidP="00882FE5">
      <w:r>
        <w:separator/>
      </w:r>
    </w:p>
  </w:footnote>
  <w:footnote w:type="continuationSeparator" w:id="0">
    <w:p w14:paraId="05400DCD" w14:textId="77777777" w:rsidR="006A0AA2" w:rsidRDefault="006A0AA2" w:rsidP="0088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53"/>
    <w:rsid w:val="0001263D"/>
    <w:rsid w:val="002E6735"/>
    <w:rsid w:val="00441D73"/>
    <w:rsid w:val="00531269"/>
    <w:rsid w:val="006657C7"/>
    <w:rsid w:val="006A0AA2"/>
    <w:rsid w:val="006C3B3B"/>
    <w:rsid w:val="007A411E"/>
    <w:rsid w:val="007F6DF4"/>
    <w:rsid w:val="00842253"/>
    <w:rsid w:val="00882FE5"/>
    <w:rsid w:val="008B1DD0"/>
    <w:rsid w:val="00A66D48"/>
    <w:rsid w:val="00BA169E"/>
    <w:rsid w:val="00BD1389"/>
    <w:rsid w:val="00CA1E4A"/>
    <w:rsid w:val="00F0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42D5C1"/>
  <w15:chartTrackingRefBased/>
  <w15:docId w15:val="{71D363C1-099B-4596-848C-7105AFB8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418"/>
        <w:tab w:val="left" w:pos="4253"/>
      </w:tabs>
      <w:jc w:val="both"/>
      <w:outlineLvl w:val="2"/>
    </w:pPr>
    <w:rPr>
      <w:rFonts w:ascii="Arial" w:hAnsi="Arial"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1418"/>
        <w:tab w:val="left" w:pos="4253"/>
      </w:tabs>
      <w:jc w:val="both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tabs>
        <w:tab w:val="left" w:pos="1418"/>
        <w:tab w:val="left" w:pos="4253"/>
      </w:tabs>
      <w:jc w:val="both"/>
    </w:pPr>
    <w:rPr>
      <w:rFonts w:ascii="Arial" w:hAnsi="Arial" w:cs="Arial"/>
      <w:sz w:val="24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Brief">
    <w:name w:val="Brief"/>
    <w:basedOn w:val="Standard"/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82F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FE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882F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FE5"/>
    <w:rPr>
      <w:lang w:eastAsia="ar-SA"/>
    </w:rPr>
  </w:style>
  <w:style w:type="character" w:customStyle="1" w:styleId="itwtqi23ioopmk3o6ert">
    <w:name w:val="itwtqi_23ioopmk3o6ert"/>
    <w:rsid w:val="007A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-bew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BEWO</vt:lpstr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BEWO</dc:title>
  <dc:subject/>
  <dc:creator>Konrad Lohrmann</dc:creator>
  <cp:keywords/>
  <cp:lastModifiedBy>Martin Laumann-Stening</cp:lastModifiedBy>
  <cp:revision>2</cp:revision>
  <cp:lastPrinted>2019-08-21T12:37:00Z</cp:lastPrinted>
  <dcterms:created xsi:type="dcterms:W3CDTF">2020-04-21T16:06:00Z</dcterms:created>
  <dcterms:modified xsi:type="dcterms:W3CDTF">2020-04-21T16:06:00Z</dcterms:modified>
</cp:coreProperties>
</file>